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0C0B" w14:textId="77777777" w:rsidR="001B40DE" w:rsidRDefault="001B40DE" w:rsidP="00523B91">
      <w:pPr>
        <w:rPr>
          <w:rFonts w:hint="cs"/>
          <w:rtl/>
        </w:rPr>
      </w:pPr>
    </w:p>
    <w:p w14:paraId="5E561C60" w14:textId="77777777" w:rsidR="00523B91" w:rsidRDefault="00523B91" w:rsidP="00523B91">
      <w:pPr>
        <w:rPr>
          <w:rtl/>
        </w:rPr>
      </w:pPr>
    </w:p>
    <w:p w14:paraId="288B8796" w14:textId="77777777" w:rsidR="00523B91" w:rsidRDefault="00523B91" w:rsidP="00523B91">
      <w:pPr>
        <w:rPr>
          <w:rtl/>
        </w:rPr>
      </w:pPr>
    </w:p>
    <w:p w14:paraId="73B255B5" w14:textId="77777777" w:rsidR="00811653" w:rsidRDefault="00811653" w:rsidP="00811653">
      <w:pPr>
        <w:jc w:val="center"/>
        <w:rPr>
          <w:rFonts w:cs="PT Bold Heading"/>
          <w:color w:val="7030A0"/>
          <w:sz w:val="32"/>
          <w:szCs w:val="32"/>
        </w:rPr>
      </w:pPr>
      <w:r>
        <w:rPr>
          <w:rFonts w:cs="PT Bold Heading" w:hint="cs"/>
          <w:color w:val="7030A0"/>
          <w:sz w:val="32"/>
          <w:szCs w:val="32"/>
          <w:rtl/>
        </w:rPr>
        <w:t>إجراءات محدثة عند الاشتباه في غسيل الأموال وتمويل الإرهاب:</w:t>
      </w:r>
    </w:p>
    <w:p w14:paraId="1B8EECF4" w14:textId="77777777" w:rsidR="00811653" w:rsidRDefault="00811653" w:rsidP="00811653">
      <w:pPr>
        <w:ind w:firstLine="720"/>
        <w:jc w:val="both"/>
        <w:rPr>
          <w:rFonts w:ascii="SST Arabic" w:hAnsi="SST Arabic" w:cs="SST Arabic" w:hint="cs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1-القبول الشكلي للعمليات المشتبه بها وعدم رفضها.</w:t>
      </w:r>
    </w:p>
    <w:p w14:paraId="55250B34" w14:textId="77777777" w:rsidR="00811653" w:rsidRDefault="00811653" w:rsidP="00811653">
      <w:pPr>
        <w:ind w:firstLine="720"/>
        <w:jc w:val="both"/>
        <w:rPr>
          <w:rFonts w:ascii="SST Arabic" w:hAnsi="SST Arabic" w:cs="SST Arabic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2-تجنب عرض البدائل للعملاء أو تقديم النصيحة أو المشورة لتفادي تطبيق التعليمات بشأن العمليات التي يجرونها.</w:t>
      </w:r>
    </w:p>
    <w:p w14:paraId="092BBD6F" w14:textId="77777777" w:rsidR="00811653" w:rsidRDefault="00811653" w:rsidP="00811653">
      <w:pPr>
        <w:ind w:firstLine="720"/>
        <w:jc w:val="both"/>
        <w:rPr>
          <w:rFonts w:ascii="SST Arabic" w:hAnsi="SST Arabic" w:cs="SST Arabic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3-المحافظة على سرية البلاغات عن العملاء أو العمليات المشتبه بها والمعلومات المرتبطة المرفوعة لوحدة التحريات المالية.</w:t>
      </w:r>
    </w:p>
    <w:p w14:paraId="6E0F023F" w14:textId="77777777" w:rsidR="00811653" w:rsidRDefault="00811653" w:rsidP="00811653">
      <w:pPr>
        <w:ind w:firstLine="720"/>
        <w:jc w:val="both"/>
        <w:rPr>
          <w:rFonts w:ascii="SST Arabic" w:hAnsi="SST Arabic" w:cs="SST Arabic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4-ألا يؤدي إجراء الاتصال بالعملاء أو مع الأطراف الخارجية للاستفسار عن طبيعة العمليات إلى إثارة الشكوك حوله.</w:t>
      </w:r>
    </w:p>
    <w:p w14:paraId="50D60A32" w14:textId="77777777" w:rsidR="00811653" w:rsidRDefault="00811653" w:rsidP="00811653">
      <w:pPr>
        <w:ind w:firstLine="720"/>
        <w:jc w:val="both"/>
        <w:rPr>
          <w:rFonts w:ascii="SST Arabic" w:hAnsi="SST Arabic" w:cs="SST Arabic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5-عدم إخطار العملاء بأن معاملاتهم قيد المراجعة أو المراقبة ونحو ذلك.</w:t>
      </w:r>
    </w:p>
    <w:p w14:paraId="3E51FBCD" w14:textId="77777777" w:rsidR="00811653" w:rsidRDefault="00811653" w:rsidP="00811653">
      <w:pPr>
        <w:ind w:firstLine="720"/>
        <w:jc w:val="both"/>
        <w:rPr>
          <w:rFonts w:ascii="SST Arabic" w:hAnsi="SST Arabic" w:cs="SST Arabic"/>
          <w:sz w:val="28"/>
          <w:szCs w:val="28"/>
          <w:rtl/>
        </w:rPr>
      </w:pPr>
      <w:r>
        <w:rPr>
          <w:rFonts w:ascii="SST Arabic" w:hAnsi="SST Arabic" w:cs="SST Arabic"/>
          <w:sz w:val="28"/>
          <w:szCs w:val="28"/>
          <w:rtl/>
        </w:rPr>
        <w:t>6-التزام موظفي الجمعية الذين يحصلون على معلومات أثناء تأديتهم لأعمالهم بالحفاظ على سرية تلك المعلومات.</w:t>
      </w:r>
    </w:p>
    <w:p w14:paraId="0BDD50E0" w14:textId="22A29F58" w:rsidR="00523B91" w:rsidRDefault="00523B91" w:rsidP="00523B91">
      <w:pPr>
        <w:rPr>
          <w:rtl/>
        </w:rPr>
      </w:pPr>
    </w:p>
    <w:p w14:paraId="44744A83" w14:textId="77777777" w:rsidR="00523B91" w:rsidRPr="00523B91" w:rsidRDefault="00523B91" w:rsidP="00523B91"/>
    <w:sectPr w:rsidR="00523B91" w:rsidRPr="00523B91" w:rsidSect="00811653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812E" w14:textId="77777777" w:rsidR="001C156C" w:rsidRDefault="001C156C" w:rsidP="00ED508B">
      <w:pPr>
        <w:spacing w:after="0" w:line="240" w:lineRule="auto"/>
      </w:pPr>
      <w:r>
        <w:separator/>
      </w:r>
    </w:p>
  </w:endnote>
  <w:endnote w:type="continuationSeparator" w:id="0">
    <w:p w14:paraId="62DB57CA" w14:textId="77777777" w:rsidR="001C156C" w:rsidRDefault="001C156C" w:rsidP="00E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ST Arabic">
    <w:panose1 w:val="020B0504030504020204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390A" w14:textId="64641963" w:rsidR="00ED508B" w:rsidRDefault="00ED508B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0F53D" wp14:editId="54843D8D">
          <wp:simplePos x="0" y="0"/>
          <wp:positionH relativeFrom="page">
            <wp:posOffset>12700</wp:posOffset>
          </wp:positionH>
          <wp:positionV relativeFrom="paragraph">
            <wp:posOffset>7620</wp:posOffset>
          </wp:positionV>
          <wp:extent cx="7550150" cy="7620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12"/>
                  <a:stretch/>
                </pic:blipFill>
                <pic:spPr bwMode="auto">
                  <a:xfrm>
                    <a:off x="0" y="0"/>
                    <a:ext cx="75501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5623F" w14:textId="1CE04FDA" w:rsidR="00ED508B" w:rsidRDefault="00ED50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8CCF" w14:textId="77777777" w:rsidR="001C156C" w:rsidRDefault="001C156C" w:rsidP="00ED508B">
      <w:pPr>
        <w:spacing w:after="0" w:line="240" w:lineRule="auto"/>
      </w:pPr>
      <w:r>
        <w:separator/>
      </w:r>
    </w:p>
  </w:footnote>
  <w:footnote w:type="continuationSeparator" w:id="0">
    <w:p w14:paraId="14CCA91B" w14:textId="77777777" w:rsidR="001C156C" w:rsidRDefault="001C156C" w:rsidP="00E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9040" w14:textId="3027AEF0" w:rsidR="001B40DE" w:rsidRDefault="001B40DE">
    <w:pPr>
      <w:pStyle w:val="a3"/>
      <w:rPr>
        <w:noProof/>
        <w:rtl/>
        <w:lang w:val="ar-SA"/>
      </w:rPr>
    </w:pPr>
    <w:r>
      <w:rPr>
        <w:rFonts w:hint="cs"/>
        <w:noProof/>
        <w:rtl/>
      </w:rPr>
      <w:drawing>
        <wp:anchor distT="0" distB="0" distL="114300" distR="114300" simplePos="0" relativeHeight="251660288" behindDoc="1" locked="0" layoutInCell="1" allowOverlap="1" wp14:anchorId="138FA8C7" wp14:editId="0C1336E6">
          <wp:simplePos x="0" y="0"/>
          <wp:positionH relativeFrom="column">
            <wp:posOffset>-1130300</wp:posOffset>
          </wp:positionH>
          <wp:positionV relativeFrom="paragraph">
            <wp:posOffset>-449580</wp:posOffset>
          </wp:positionV>
          <wp:extent cx="7527975" cy="1422400"/>
          <wp:effectExtent l="0" t="0" r="0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4419"/>
                  <a:stretch/>
                </pic:blipFill>
                <pic:spPr bwMode="auto">
                  <a:xfrm>
                    <a:off x="0" y="0"/>
                    <a:ext cx="7555020" cy="142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8D124" w14:textId="3FB8D09B" w:rsidR="00ED508B" w:rsidRDefault="00ED508B">
    <w:pPr>
      <w:pStyle w:val="a3"/>
      <w:rPr>
        <w:noProof/>
        <w:rtl/>
      </w:rPr>
    </w:pPr>
  </w:p>
  <w:p w14:paraId="5EA1FC1F" w14:textId="7A69C9C3" w:rsidR="00ED508B" w:rsidRDefault="00ED508B">
    <w:pPr>
      <w:pStyle w:val="a3"/>
      <w:rPr>
        <w:noProof/>
      </w:rPr>
    </w:pPr>
  </w:p>
  <w:p w14:paraId="5641E914" w14:textId="21D19D24" w:rsidR="00ED508B" w:rsidRDefault="00ED508B">
    <w:pPr>
      <w:pStyle w:val="a3"/>
      <w:rPr>
        <w:noProof/>
        <w:rtl/>
      </w:rPr>
    </w:pPr>
  </w:p>
  <w:p w14:paraId="0ADBF373" w14:textId="7CC9830F" w:rsidR="00ED508B" w:rsidRDefault="00ED508B">
    <w:pPr>
      <w:pStyle w:val="a3"/>
      <w:rPr>
        <w:noProof/>
        <w:rtl/>
      </w:rPr>
    </w:pPr>
  </w:p>
  <w:p w14:paraId="59B5CDA9" w14:textId="77777777" w:rsidR="00ED508B" w:rsidRDefault="00ED5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B"/>
    <w:rsid w:val="001B40DE"/>
    <w:rsid w:val="001C156C"/>
    <w:rsid w:val="003621BA"/>
    <w:rsid w:val="003C2CF3"/>
    <w:rsid w:val="00523B91"/>
    <w:rsid w:val="00574981"/>
    <w:rsid w:val="005F6D22"/>
    <w:rsid w:val="00811653"/>
    <w:rsid w:val="00833C9D"/>
    <w:rsid w:val="00891FCB"/>
    <w:rsid w:val="00B52A8D"/>
    <w:rsid w:val="00B87580"/>
    <w:rsid w:val="00C81792"/>
    <w:rsid w:val="00CB78C2"/>
    <w:rsid w:val="00D84674"/>
    <w:rsid w:val="00E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8BA2B"/>
  <w15:docId w15:val="{74A030BA-C298-42F0-877E-3DE4C7C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5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508B"/>
  </w:style>
  <w:style w:type="paragraph" w:styleId="a4">
    <w:name w:val="footer"/>
    <w:basedOn w:val="a"/>
    <w:link w:val="Char0"/>
    <w:uiPriority w:val="99"/>
    <w:unhideWhenUsed/>
    <w:rsid w:val="00ED5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508B"/>
  </w:style>
  <w:style w:type="paragraph" w:styleId="a5">
    <w:name w:val="Normal (Web)"/>
    <w:basedOn w:val="a"/>
    <w:uiPriority w:val="99"/>
    <w:unhideWhenUsed/>
    <w:rsid w:val="00833C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C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3C2CF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4">
    <w:name w:val="Light Grid Accent 4"/>
    <w:basedOn w:val="a1"/>
    <w:uiPriority w:val="62"/>
    <w:rsid w:val="003C2CF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B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5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bokhary</dc:creator>
  <cp:keywords/>
  <dc:description/>
  <cp:lastModifiedBy>Abdulrahman Alqudaymi</cp:lastModifiedBy>
  <cp:revision>2</cp:revision>
  <dcterms:created xsi:type="dcterms:W3CDTF">2022-06-29T06:27:00Z</dcterms:created>
  <dcterms:modified xsi:type="dcterms:W3CDTF">2022-06-29T06:27:00Z</dcterms:modified>
</cp:coreProperties>
</file>